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B3280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Default="00AB2364" w:rsidP="00AB2364">
      <w:pPr>
        <w:rPr>
          <w:rFonts w:ascii="Times New Roman" w:hAnsi="Times New Roman"/>
        </w:rPr>
      </w:pP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7D1526">
        <w:rPr>
          <w:rFonts w:ascii="Times New Roman" w:hAnsi="Times New Roman"/>
          <w:b/>
          <w:sz w:val="24"/>
          <w:szCs w:val="24"/>
        </w:rPr>
        <w:t>Проектирование автомобильных дорог, мостов и дорожных сооружений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E75343" w:rsidRDefault="00F144D7" w:rsidP="00AB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E75343" w:rsidRDefault="00F144D7" w:rsidP="002850AD">
      <w:pPr>
        <w:pStyle w:val="a4"/>
        <w:spacing w:before="0" w:beforeAutospacing="0" w:after="0" w:afterAutospacing="0"/>
        <w:jc w:val="both"/>
        <w:rPr>
          <w:b/>
        </w:rPr>
      </w:pPr>
    </w:p>
    <w:p w:rsidR="00AB2364" w:rsidRDefault="00AB2364" w:rsidP="007C1131">
      <w:pPr>
        <w:pStyle w:val="a4"/>
        <w:spacing w:before="0" w:beforeAutospacing="0" w:after="0" w:afterAutospacing="0"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B3280">
        <w:rPr>
          <w:rFonts w:ascii="Times New Roman" w:hAnsi="Times New Roman"/>
          <w:sz w:val="24"/>
          <w:szCs w:val="24"/>
        </w:rPr>
        <w:t>490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5B328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Default="00F144D7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Default="00F144D7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 xml:space="preserve">Исходные данные для подготовки проектной документации. </w:t>
            </w:r>
          </w:p>
          <w:p w:rsidR="005B3280" w:rsidRPr="005B3280" w:rsidRDefault="005B3280" w:rsidP="005B328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B3280">
              <w:rPr>
                <w:iCs/>
                <w:sz w:val="22"/>
                <w:szCs w:val="22"/>
              </w:rPr>
              <w:t>Задание, нормативные документы. Технологический и градостроительный регламенты. Результаты инженерных изысканий. План земельного участка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Проект полосы отвода линейного объекта.</w:t>
            </w:r>
          </w:p>
          <w:p w:rsidR="005B3280" w:rsidRPr="005B3280" w:rsidRDefault="005B3280" w:rsidP="005B3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Характеристика трассы. Переустройство существующих объектов. Выбор рельефа, длины, кривизны, радиусов и углов  поворотов, преодолеваемых высот трассы. Расчеты размеров полосы отвода. Порядок согласования отвода земельных участков.</w:t>
            </w:r>
          </w:p>
          <w:p w:rsidR="005B3280" w:rsidRPr="005B3280" w:rsidRDefault="005B3280" w:rsidP="005B328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B3280">
              <w:rPr>
                <w:iCs/>
                <w:sz w:val="22"/>
                <w:szCs w:val="22"/>
              </w:rPr>
              <w:t>Для автомобильных, железных дорог: проектирование путепроводов, эстакад, пешеходных переходов и развязок, контрольно-учетных постов и пунктов, остановок общественного транспорта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10</w:t>
            </w:r>
          </w:p>
        </w:tc>
        <w:tc>
          <w:tcPr>
            <w:tcW w:w="1074" w:type="pct"/>
            <w:vAlign w:val="center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Технологические и конструктивные решения линейного объекта.</w:t>
            </w:r>
          </w:p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 xml:space="preserve">Учет  при проектировании природно-климатических, грунтовых и гидрогеологических условий. Основные параметры линейного объекта. Выбор новейших технологий для обеспечения надежности, устойчивости и экономичности линейного объекта. Профессионально-квалификационный </w:t>
            </w:r>
            <w:r w:rsidRPr="005B3280">
              <w:rPr>
                <w:rFonts w:ascii="Times New Roman" w:hAnsi="Times New Roman"/>
                <w:iCs/>
              </w:rPr>
              <w:lastRenderedPageBreak/>
              <w:t xml:space="preserve">состав работников. Организация ремонтного хозяйства.  Использование автоматизированных систем управления технологическими процессами для обеспечения качества работы линейного объекта. 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52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10</w:t>
            </w:r>
          </w:p>
        </w:tc>
        <w:tc>
          <w:tcPr>
            <w:tcW w:w="1074" w:type="pct"/>
            <w:vAlign w:val="center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Проектирование автомобильных дорог.</w:t>
            </w:r>
          </w:p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 xml:space="preserve">Расчет нагрузки, интенсивности движения и требуемого модуля упругости дорожной одежды. Расчет напряжений и деформаций, возникающих в слоях дорожной одежды и земляном полотне при движении автотранспорта. Классификация дорожных одежд, конструирование разных типов дорожных одежд. Проектирование земляного полотна с включением </w:t>
            </w:r>
            <w:proofErr w:type="spellStart"/>
            <w:r w:rsidRPr="005B3280">
              <w:rPr>
                <w:rFonts w:ascii="Times New Roman" w:hAnsi="Times New Roman"/>
                <w:iCs/>
              </w:rPr>
              <w:t>противодеформационных</w:t>
            </w:r>
            <w:proofErr w:type="spellEnd"/>
            <w:r w:rsidRPr="005B3280">
              <w:rPr>
                <w:rFonts w:ascii="Times New Roman" w:hAnsi="Times New Roman"/>
                <w:iCs/>
              </w:rPr>
              <w:t xml:space="preserve"> сооружений. Мероприятия по осушению трассы, защите от снежных заносов, попадания на нее животных. Конструкции дренажных устройств.</w:t>
            </w:r>
          </w:p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Проектирование плановых элементов дороги; трассирование дороги. Основные принципы проектирования продольного профиля автомобильной дороги. Комплексное оборудование и благоустройство магистралей. Проектирование искусственных сооружений, мостов, путепроводов, развязок.  Ландшафтное проектирование.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64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10</w:t>
            </w:r>
          </w:p>
        </w:tc>
        <w:tc>
          <w:tcPr>
            <w:tcW w:w="1074" w:type="pct"/>
            <w:vAlign w:val="center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ind w:firstLine="17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 xml:space="preserve">Проект организации строительства линейного объекта. </w:t>
            </w:r>
          </w:p>
          <w:p w:rsidR="005B3280" w:rsidRPr="005B3280" w:rsidRDefault="005B3280" w:rsidP="005B328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B3280">
              <w:rPr>
                <w:sz w:val="22"/>
                <w:szCs w:val="22"/>
              </w:rPr>
              <w:t>Методы организации дорожного строительства. Календарное планирование работ. Разработка проекта организации работ (</w:t>
            </w:r>
            <w:proofErr w:type="gramStart"/>
            <w:r w:rsidRPr="005B3280">
              <w:rPr>
                <w:sz w:val="22"/>
                <w:szCs w:val="22"/>
              </w:rPr>
              <w:t>ПОС</w:t>
            </w:r>
            <w:proofErr w:type="gramEnd"/>
            <w:r w:rsidRPr="005B3280">
              <w:rPr>
                <w:sz w:val="22"/>
                <w:szCs w:val="22"/>
              </w:rPr>
              <w:t xml:space="preserve">). Разработка проекта производства работ (ППР). Проектирование мест для  обхода или преодоления препятствий, для использования при строительстве. Разработка мероприятий, обеспечивающих безопасность движения машин и механизмов в период строительства, сохранение окружающей среды.                                                         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62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10</w:t>
            </w:r>
          </w:p>
        </w:tc>
        <w:tc>
          <w:tcPr>
            <w:tcW w:w="1074" w:type="pct"/>
            <w:vAlign w:val="center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Проектирование мероприятий по охране окружающей среды при проектировании линейных трубопроводов.</w:t>
            </w:r>
          </w:p>
          <w:p w:rsidR="005B3280" w:rsidRPr="005B3280" w:rsidRDefault="005B3280" w:rsidP="005B328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B3280">
              <w:rPr>
                <w:iCs/>
                <w:sz w:val="22"/>
                <w:szCs w:val="22"/>
              </w:rPr>
              <w:t xml:space="preserve">Оценка воздействия линейного объекта на окружающую среду. Перечень мероприятий по предотвращению негативного воздействия на период строительства и эксплуатации объекта: охрана атмосферного воздуха, земельных ресурсов и почвенного покрова, растительного и животного мира. Организация производственного экологического контроля (мониторинга). </w:t>
            </w:r>
            <w:bookmarkStart w:id="0" w:name="_GoBack"/>
            <w:bookmarkEnd w:id="0"/>
            <w:r w:rsidRPr="005B3280">
              <w:rPr>
                <w:iCs/>
                <w:sz w:val="22"/>
                <w:szCs w:val="22"/>
              </w:rPr>
              <w:lastRenderedPageBreak/>
              <w:t>Разработка мероприятий по предотвращению попадания животных и др. на территорию электрических подстанций, иных зданий и сооружений, по обеспечению безопасности функционирования линейного объекта. Проектирование затрат на реализацию природоохранных мероприятий и компенсационных выплат.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68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10</w:t>
            </w:r>
          </w:p>
        </w:tc>
        <w:tc>
          <w:tcPr>
            <w:tcW w:w="1074" w:type="pct"/>
            <w:vAlign w:val="center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3280" w:rsidRPr="00F144D7" w:rsidTr="006226FF">
        <w:trPr>
          <w:trHeight w:val="21"/>
        </w:trPr>
        <w:tc>
          <w:tcPr>
            <w:tcW w:w="33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30" w:type="pct"/>
          </w:tcPr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>Мероприятия по противопожарной  безопасности линейного объекта.</w:t>
            </w:r>
          </w:p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 xml:space="preserve">Характеристика пожарной опасности технологических процессов линейного объекта. Размещение объекта и его сооружений, разработка объемно-планировочных и конструктивных решений  в соответствии с требованиями пожарной безопасности. Проектирование организационно-технических мероприятий  пожарной безопасности, схем пожарной сигнализации и </w:t>
            </w:r>
          </w:p>
          <w:p w:rsidR="005B3280" w:rsidRPr="005B3280" w:rsidRDefault="005B3280" w:rsidP="005B3280">
            <w:pPr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5B3280">
              <w:rPr>
                <w:rFonts w:ascii="Times New Roman" w:hAnsi="Times New Roman"/>
                <w:iCs/>
              </w:rPr>
              <w:t xml:space="preserve">систем пожаротушения.    </w:t>
            </w:r>
          </w:p>
          <w:p w:rsidR="005B3280" w:rsidRPr="005B3280" w:rsidRDefault="005B3280" w:rsidP="005B328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B3280">
              <w:rPr>
                <w:iCs/>
                <w:sz w:val="22"/>
                <w:szCs w:val="22"/>
              </w:rPr>
              <w:t>Расчеты пожарных рисков угрозы жизни и здоровью  людей, уничтожения имущества.</w:t>
            </w:r>
          </w:p>
        </w:tc>
        <w:tc>
          <w:tcPr>
            <w:tcW w:w="402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328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90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58</w:t>
            </w:r>
          </w:p>
        </w:tc>
        <w:tc>
          <w:tcPr>
            <w:tcW w:w="567" w:type="pct"/>
            <w:vAlign w:val="center"/>
          </w:tcPr>
          <w:p w:rsidR="005B3280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10</w:t>
            </w:r>
          </w:p>
        </w:tc>
        <w:tc>
          <w:tcPr>
            <w:tcW w:w="1074" w:type="pct"/>
          </w:tcPr>
          <w:p w:rsidR="005B3280" w:rsidRPr="00F144D7" w:rsidRDefault="005B328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D1526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7D1526" w:rsidRPr="005B3280" w:rsidRDefault="007D1526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28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D1526" w:rsidRPr="005B3280" w:rsidRDefault="007D1526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  <w:b/>
              </w:rPr>
              <w:t>ПО УЧЕБНОМУ КУРСУ</w:t>
            </w:r>
            <w:r w:rsidRPr="005B3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7D1526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7D1526" w:rsidRPr="005B3280" w:rsidRDefault="007D1526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7D1526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7D1526" w:rsidRPr="00F144D7" w:rsidRDefault="007D1526" w:rsidP="00933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7D1526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7D1526" w:rsidRPr="005B3280" w:rsidRDefault="007D1526" w:rsidP="005B32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B328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7D1526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280">
              <w:rPr>
                <w:rFonts w:ascii="Times New Roman" w:hAnsi="Times New Roman"/>
                <w:b/>
              </w:rPr>
              <w:t>490</w:t>
            </w:r>
          </w:p>
        </w:tc>
        <w:tc>
          <w:tcPr>
            <w:tcW w:w="490" w:type="pct"/>
            <w:vAlign w:val="center"/>
          </w:tcPr>
          <w:p w:rsidR="007D1526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280">
              <w:rPr>
                <w:rFonts w:ascii="Times New Roman" w:hAnsi="Times New Roman"/>
                <w:b/>
              </w:rPr>
              <w:t>394</w:t>
            </w:r>
          </w:p>
        </w:tc>
        <w:tc>
          <w:tcPr>
            <w:tcW w:w="567" w:type="pct"/>
            <w:vAlign w:val="center"/>
          </w:tcPr>
          <w:p w:rsidR="007D1526" w:rsidRPr="005B3280" w:rsidRDefault="005B3280" w:rsidP="005B3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3280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074" w:type="pct"/>
            <w:vAlign w:val="center"/>
          </w:tcPr>
          <w:p w:rsidR="007D1526" w:rsidRPr="00F144D7" w:rsidRDefault="007D1526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F144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137277"/>
    <w:rsid w:val="001F3172"/>
    <w:rsid w:val="002850AD"/>
    <w:rsid w:val="00343FCB"/>
    <w:rsid w:val="003663BB"/>
    <w:rsid w:val="003A1763"/>
    <w:rsid w:val="00477F00"/>
    <w:rsid w:val="004E731E"/>
    <w:rsid w:val="00530300"/>
    <w:rsid w:val="005B3280"/>
    <w:rsid w:val="007740C3"/>
    <w:rsid w:val="007C1131"/>
    <w:rsid w:val="007D1526"/>
    <w:rsid w:val="007F6A49"/>
    <w:rsid w:val="008C2712"/>
    <w:rsid w:val="00933FEF"/>
    <w:rsid w:val="00991F46"/>
    <w:rsid w:val="009938F7"/>
    <w:rsid w:val="009D57BB"/>
    <w:rsid w:val="00A02E67"/>
    <w:rsid w:val="00A51815"/>
    <w:rsid w:val="00AB2364"/>
    <w:rsid w:val="00AC6045"/>
    <w:rsid w:val="00C209FF"/>
    <w:rsid w:val="00C31B1A"/>
    <w:rsid w:val="00C663BA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2017-10-16T14:36:00Z</dcterms:created>
  <dcterms:modified xsi:type="dcterms:W3CDTF">2018-04-17T10:10:00Z</dcterms:modified>
</cp:coreProperties>
</file>